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DC-0154 · Property</w:t>
      </w:r>
    </w:p>
    <w:p>
      <w:pPr>
        <w:pStyle w:val="Title"/>
      </w:pPr>
      <w:r>
        <w:t xml:space="preserve">Eminent Domain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power of the State to take private property for public use, and the two conditions of public purpose and compensation.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300A</w:t>
      </w:r>
    </w:p>
    <w:p>
      <w:pPr>
        <w:pStyle w:val="Bullet"/>
      </w:pPr>
      <w:r>
        <w:t xml:space="preserve">•  State of Bihar v. Kameshwar Singh, AIR 1952 SC 252</w:t>
      </w:r>
    </w:p>
    <w:p>
      <w:pPr>
        <w:pStyle w:val="Bullet"/>
      </w:pPr>
      <w:r>
        <w:t xml:space="preserve">•  K.T. Plantation (P) Ltd. v. State of Karnataka, (2011) 9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https://firstprecedent.org/doctrines/eminent-domain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