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DC-0123 · Civil Procedure</w:t>
      </w:r>
    </w:p>
    <w:p>
      <w:pPr>
        <w:pStyle w:val="Title"/>
      </w:pPr>
      <w:r>
        <w:t xml:space="preserve">Election of Remedies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 person with two inconsistent remedies who chooses one cannot afterwards fall back on the other.</w:t>
      </w:r>
    </w:p>
    <w:p>
      <w:pPr>
        <w:pStyle w:val="Guidance"/>
      </w:pPr>
      <w:r>
        <w:t xml:space="preserve">Authorities to start from. These are places to begin, listed by the editors. Read each one in the original and check the citation before you rely on it.</w:t>
      </w:r>
    </w:p>
    <w:p>
      <w:pPr>
        <w:pStyle w:val="Bullet"/>
      </w:pPr>
      <w:r>
        <w:t xml:space="preserve">•  National Insurance Co. Ltd. v. Mastan, (2006) 2 SCC 641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https://firstprecedent.org/doctrines/election-of-remedies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