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DC-0037 · Criminal</w:t>
      </w:r>
    </w:p>
    <w:p>
      <w:pPr>
        <w:pStyle w:val="Title"/>
      </w:pPr>
      <w:r>
        <w:t xml:space="preserve">Double Jeopardy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bar on a second prosecution and punishment for the same offence: the narrow constitutional rule and the wider statutory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20(2)</w:t>
      </w:r>
    </w:p>
    <w:p>
      <w:pPr>
        <w:pStyle w:val="Bullet"/>
      </w:pPr>
      <w:r>
        <w:t xml:space="preserve">•  Maqbool Hussain v. State of Bombay, AIR 1953 SC 325</w:t>
      </w:r>
    </w:p>
    <w:p>
      <w:pPr>
        <w:pStyle w:val="Bullet"/>
      </w:pPr>
      <w:r>
        <w:t xml:space="preserve">•  Code of Criminal Procedure, 1973, § 300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https://firstprecedent.org/doctrines/double-jeopardy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