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DC-0218 · Private International</w:t>
      </w:r>
    </w:p>
    <w:p>
      <w:pPr>
        <w:pStyle w:val="Title"/>
      </w:pPr>
      <w:r>
        <w:t xml:space="preserve">Double Actionability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tort committed abroad can be sued on only if it is actionable by the law of the forum and of the place where it was done.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Phillips v. Eyre, (1870) LR 6 QB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https://firstprecedent.org/doctrines/double-actionability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