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DC-0210 · Contract</w:t>
      </w:r>
    </w:p>
    <w:p>
      <w:pPr>
        <w:pStyle w:val="Title"/>
      </w:pPr>
      <w:r>
        <w:t xml:space="preserve">Discharge of Surety by Variance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any change in the contract between creditor and debtor made without the surety’s consent releases the surety.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https://firstprecedent.org/doctrines/discharge-of-surety-by-variance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