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DC-0197 · Interpretation</w:t>
      </w:r>
    </w:p>
    <w:p>
      <w:pPr>
        <w:pStyle w:val="Title"/>
      </w:pPr>
      <w:r>
        <w:t xml:space="preserve">Desuetude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idea that a statute long disused and contradicted by practice loses its force, and the caution with which Indian courts treat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Corpn. for City of Pune v. Bharat Forge Co. Ltd., (1995) 3 SCC 434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https://firstprecedent.org/doctrines/desuetude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