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DC-0079 · Constitutional</w:t>
      </w:r>
    </w:p>
    <w:p>
      <w:pPr>
        <w:pStyle w:val="Title"/>
      </w:pPr>
      <w:r>
        <w:t xml:space="preserve">Delay and Laches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writ court may refuse relief to a petitioner who slept on a right, though no limitation period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Tilokchand Motichand v. H.B. Munshi, (1969) 1 SCC 110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https://firstprecedent.org/doctrines/delay-and-laches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