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DC-0153 · Property</w:t>
      </w:r>
    </w:p>
    <w:p>
      <w:pPr>
        <w:pStyle w:val="Title"/>
      </w:pPr>
      <w:r>
        <w:t xml:space="preserve">Cy-Près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court’s power to apply charitable property to a purpose as near as possible to the original when that purpose fails.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92</w:t>
      </w:r>
    </w:p>
    <w:p>
      <w:pPr>
        <w:pStyle w:val="Bullet"/>
      </w:pPr>
      <w:r>
        <w:t xml:space="preserve">•  Ratilal Panachand Gandhi v. State of Bombay, AIR 1954 SC 388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https://firstprecedent.org/doctrines/cy-pres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