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DC-0072 · Tort</w:t>
      </w:r>
    </w:p>
    <w:p>
      <w:pPr>
        <w:pStyle w:val="Title"/>
      </w:pPr>
      <w:r>
        <w:t xml:space="preserve">Contributory Negligence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How a claimant’s own carelessness reduces damages, and how Indian courts apportion fault without a statute.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Municipal Corporation of Greater Bombay v. Laxman Iyer, (2003) 8 SCC 731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https://firstprecedent.org/doctrines/contributory-negligence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