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DC-0028 · Tort</w:t>
      </w:r>
    </w:p>
    <w:p>
      <w:pPr>
        <w:pStyle w:val="Title"/>
      </w:pPr>
      <w:r>
        <w:t xml:space="preserve">Constitutional Tort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Compensation in writ jurisdiction for violation of fundamental rights, as a public law remedy distinct from tort damages.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Rudul Sah v. State of Bihar, (1983) 4 SCC 141</w:t>
      </w:r>
    </w:p>
    <w:p>
      <w:pPr>
        <w:pStyle w:val="Bullet"/>
      </w:pPr>
      <w:r>
        <w:t xml:space="preserve">•  Nilabati Behera v. State of Orissa, (1993) 2 SCC 746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https://firstprecedent.org/doctrines/constitutional-tort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