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DC-0086 · Constitutional</w:t>
      </w:r>
    </w:p>
    <w:p>
      <w:pPr>
        <w:pStyle w:val="Title"/>
      </w:pPr>
      <w:r>
        <w:t xml:space="preserve">Constitutional Conventions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Unwritten practices that the Constitution’s actors treat as binding, and whether a court can enforce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Supreme Court Advocates-on-Record Assn. v. Union of India, (1993) 4 SCC 441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https://firstprecedent.org/doctrines/constitutional-conventions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