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DC-0109 · Criminal</w:t>
      </w:r>
    </w:p>
    <w:p>
      <w:pPr>
        <w:pStyle w:val="Title"/>
      </w:pPr>
      <w:r>
        <w:t xml:space="preserve">Consent as a Defence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harms to which a person may lawfully consent, acts done for a person’s benefit, and the consent the law disregards.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87–92 (now Bharatiya Nyaya Sanhita, 2023, §§ 25–30)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https://firstprecedent.org/doctrines/consent-as-a-defence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