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DC-0097 · Administrative</w:t>
      </w:r>
    </w:p>
    <w:p>
      <w:pPr>
        <w:pStyle w:val="Title"/>
      </w:pPr>
      <w:r>
        <w:t xml:space="preserve">Conditional Legislation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law that is complete in itself but leaves it to the executive to decide when or where it applies, and how that differs from delegation.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Hamdard Dawakhana v. Union of India, AIR 1960 SC 554</w:t>
      </w:r>
    </w:p>
    <w:p>
      <w:pPr>
        <w:pStyle w:val="Bullet"/>
      </w:pPr>
      <w:r>
        <w:t xml:space="preserve">•  State of T.N. v. K. Sabanayagam, (1998) 1 SCC 318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https://firstprecedent.org/doctrines/conditional-legislation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