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DC-0112 · Criminal</w:t>
      </w:r>
    </w:p>
    <w:p>
      <w:pPr>
        <w:pStyle w:val="Title"/>
      </w:pPr>
      <w:r>
        <w:t xml:space="preserve">Concurrent and Consecutive Sentences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sentences for several offences run together or one after another, and why two life sentences cannot run consecutively.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31</w:t>
      </w:r>
    </w:p>
    <w:p>
      <w:pPr>
        <w:pStyle w:val="Bullet"/>
      </w:pPr>
      <w:r>
        <w:t xml:space="preserve">•  Muthuramalingam v. State, (2016) 8 SCC 313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https://firstprecedent.org/doctrines/concurrent-and-consecutive-sentences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