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DC-0058 · Banking</w:t>
      </w:r>
    </w:p>
    <w:p>
      <w:pPr>
        <w:pStyle w:val="Title"/>
      </w:pPr>
      <w:r>
        <w:t xml:space="preserve">Commercial Wisdom of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committee of creditors’ decision on a resolution plan is not open to review on its merits.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 Sashidhar v. Indian Overseas Bank, (2019) 12 SCC 150</w:t>
      </w:r>
    </w:p>
    <w:p>
      <w:pPr>
        <w:pStyle w:val="Bullet"/>
      </w:pPr>
      <w:r>
        <w:t xml:space="preserve">•  Insolvency and Bankruptcy Code, 2016, §§ 30–31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https://firstprecedent.org/doctrines/commercial-wisdom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