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DC-0006 · Constitutional</w:t>
      </w:r>
    </w:p>
    <w:p>
      <w:pPr>
        <w:pStyle w:val="Title"/>
      </w:pPr>
      <w:r>
        <w:t xml:space="preserve">Colourable Legislation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What cannot be done directly cannot be done indirectly: a question of competence, not of legislative motive.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K.C. Gajapati Narayan Deo v. State of Orissa, AIR 1953 SC 375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https://firstprecedent.org/doctrines/colourable-legislation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