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DC-0176 · Banking</w:t>
      </w:r>
    </w:p>
    <w:p>
      <w:pPr>
        <w:pStyle w:val="Title"/>
      </w:pPr>
      <w:r>
        <w:t xml:space="preserve">Clayton’s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payments into a running account discharge the earliest debts first, unless the parties show a different intention.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Devaynes v. Noble (Clayton’s Case), (1816) 1 Mer 572</w:t>
      </w:r>
    </w:p>
    <w:p>
      <w:pPr>
        <w:pStyle w:val="Bullet"/>
      </w:pPr>
      <w:r>
        <w:t xml:space="preserve">•  Indian Contract Act, 1872, §§ 59–61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https://firstprecedent.org/doctrines/claytons-rule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