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DC-0088 · Constitutional</w:t>
      </w:r>
    </w:p>
    <w:p>
      <w:pPr>
        <w:pStyle w:val="Title"/>
      </w:pPr>
      <w:r>
        <w:t xml:space="preserve">Chilling Effect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deterrence of lawful speech by a law that is too wide or too uncertain, as a reason for striking the law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Shreya Singhal v. Union of India, (2015) 5 SCC 1</w:t>
      </w:r>
    </w:p>
    <w:p>
      <w:pPr>
        <w:pStyle w:val="Bullet"/>
      </w:pPr>
      <w:r>
        <w:t xml:space="preserve">•  R. Rajagopal v. State of T.N., (1994) 6 SCC 632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https://firstprecedent.org/doctrines/chilling-effect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