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DC-0074 · Contract</w:t>
      </w:r>
    </w:p>
    <w:p>
      <w:pPr>
        <w:pStyle w:val="Title"/>
      </w:pPr>
      <w:r>
        <w:t xml:space="preserve">Caveat Emptor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buyer takes the risk of quality, subject to implied conditions of fitness and merchantable quality.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Sale of Goods Act, 1930, § 16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https://firstprecedent.org/doctrines/caveat-emptor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