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DC-0091 · Constitutional</w:t>
      </w:r>
    </w:p>
    <w:p>
      <w:pPr>
        <w:pStyle w:val="Title"/>
      </w:pPr>
      <w:r>
        <w:t xml:space="preserve">Catch-Up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general-category employee promoted later regains seniority over a reserved-category employee promoted earlier, and its reversal by amendment.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Virpal Singh Chauhan, (1995) 6 SCC 684</w:t>
      </w:r>
    </w:p>
    <w:p>
      <w:pPr>
        <w:pStyle w:val="Bullet"/>
      </w:pPr>
      <w:r>
        <w:t xml:space="preserve">•  Ajit Singh (II) v. State of Punjab, (1999) 7 SCC 209</w:t>
      </w:r>
    </w:p>
    <w:p>
      <w:pPr>
        <w:pStyle w:val="Bullet"/>
      </w:pPr>
      <w:r>
        <w:t xml:space="preserve">•  M. Nagaraj v. Union of India, (2006) 8 SCC 212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https://firstprecedent.org/doctrines/catch-up-rule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