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DC-0132 · Contract</w:t>
      </w:r>
    </w:p>
    <w:p>
      <w:pPr>
        <w:pStyle w:val="Title"/>
      </w:pPr>
      <w:r>
        <w:t xml:space="preserve">Blue Pencil</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Striking out the unlawful part of an agreement and enforcing the rest, where the two can be separated.</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Contract Act, 1872, § 24</w:t>
      </w:r>
    </w:p>
    <w:p>
      <w:pPr>
        <w:pStyle w:val="Bullet"/>
      </w:pPr>
      <w:r>
        <w:t xml:space="preserve">•  Shin Satellite Public Co. Ltd. v. Jain Studios Ltd., (2006) 2 SCC 628</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https://firstprecedent.org/doctrines/blue-pencil</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