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DC-0193 · Jurisprudence</w:t>
      </w:r>
    </w:p>
    <w:p>
      <w:pPr>
        <w:pStyle w:val="Title"/>
      </w:pPr>
      <w:r>
        <w:t xml:space="preserve">Bench Strength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bench is bound by a larger or equal bench and must refer a disagreement upward.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Board of Dawoodi Bohra Community v. State of Maharashtra, (2005) 2 SCC 673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https://firstprecedent.org/doctrines/bench-strength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