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DC-0173 · Banking</w:t>
      </w:r>
    </w:p>
    <w:p>
      <w:pPr>
        <w:pStyle w:val="Title"/>
      </w:pPr>
      <w:r>
        <w:t xml:space="preserve">Autonomy of Bank Guarantees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bank must honour an unconditional guarantee whatever the dispute beneath it, save for fraud or irretrievable injustice.</w:t>
      </w:r>
    </w:p>
    <w:p>
      <w:pPr>
        <w:pStyle w:val="Guidance"/>
      </w:pPr>
      <w:r>
        <w:t xml:space="preserve">Authorities to start from. These are places to begin, listed by the editors. Read each one in the original and check the citation before you rely on it.</w:t>
      </w:r>
    </w:p>
    <w:p>
      <w:pPr>
        <w:pStyle w:val="Bullet"/>
      </w:pPr>
      <w:r>
        <w:t xml:space="preserve">•  U.P. Coop. Federation Ltd. v. Singh Consultants &amp; Engineers (P) Ltd., (1988) 1 SCC 174</w:t>
      </w:r>
    </w:p>
    <w:p>
      <w:pPr>
        <w:pStyle w:val="Bullet"/>
      </w:pPr>
      <w:r>
        <w:t xml:space="preserve">•  Hindustan Steelworks Construction Ltd. v. Tarapore &amp; Co., (1996) 5 SCC 34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https://firstprecedent.org/doctrines/autonomy-of-bank-guarantees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