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DC-0165 · Corporate</w:t>
      </w:r>
    </w:p>
    <w:p>
      <w:pPr>
        <w:pStyle w:val="Title"/>
      </w:pPr>
      <w:r>
        <w:t xml:space="preserve">Attribution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Treating the state of mind of those who direct a company as the company’s own, and why the rule does not run in reverse.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Iridium India Telecom Ltd. v. Motorola Inc., (2011) 1 SCC 74</w:t>
      </w:r>
    </w:p>
    <w:p>
      <w:pPr>
        <w:pStyle w:val="Bullet"/>
      </w:pPr>
      <w:r>
        <w:t xml:space="preserve">•  Sunil Bharti Mittal v. CBI, (2015) 4 SCC 609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https://firstprecedent.org/doctrines/attribution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