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DC-0083 · Constitutional</w:t>
      </w:r>
    </w:p>
    <w:p>
      <w:pPr>
        <w:pStyle w:val="Title"/>
      </w:pPr>
      <w:r>
        <w:t xml:space="preserve">Aspect Theory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idea that one transaction can have different aspects, each taxable by a different legislature, and the limits of that idea.</w:t>
      </w:r>
    </w:p>
    <w:p>
      <w:pPr>
        <w:pStyle w:val="Guidance"/>
      </w:pPr>
      <w:r>
        <w:t xml:space="preserve">Authorities to start from. These are places to begin, listed by the editors. Read each one in the original and check the citation before you rely on it.</w:t>
      </w:r>
    </w:p>
    <w:p>
      <w:pPr>
        <w:pStyle w:val="Bullet"/>
      </w:pPr>
      <w:r>
        <w:t xml:space="preserve">•  Federation of Hotel &amp; Restaurant Assn. of India v. Union of India, (1989) 3 SCC 634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https://firstprecedent.org/doctrines/aspect-theory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