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DC-0020 · Property</w:t>
      </w:r>
    </w:p>
    <w:p>
      <w:pPr>
        <w:pStyle w:val="Title"/>
      </w:pPr>
      <w:r>
        <w:t xml:space="preserve">Adverse Possession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Title by hostile, open and continuous possession for the statutory period, and the courts’ growing discomfort with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arts. 64–65, § 27</w:t>
      </w:r>
    </w:p>
    <w:p>
      <w:pPr>
        <w:pStyle w:val="Bullet"/>
      </w:pPr>
      <w:r>
        <w:t xml:space="preserve">•  Karnataka Board of Wakf v. Govt. of India, (2004) 10 SCC 779</w:t>
      </w:r>
    </w:p>
    <w:p>
      <w:pPr>
        <w:pStyle w:val="Bullet"/>
      </w:pPr>
      <w:r>
        <w:t xml:space="preserve">•  Ravinder Kaur Grewal v. Manjit Kaur, (2019) 8 SCC 729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https://firstprecedent.org/doctrines/adverse-possession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