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DC-0101 · Administrative</w:t>
      </w:r>
    </w:p>
    <w:p>
      <w:pPr>
        <w:pStyle w:val="Title"/>
      </w:pPr>
      <w:r>
        <w:t xml:space="preserve">Acting under Dictation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authority given a discretion must exercise it itself and not at the direction of a superior.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Commissioner of Police v. Gordhandas Bhanji, AIR 1952 SC 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https://firstprecedent.org/doctrines/acting-under-dictation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