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DS-0035 · Corporate</w:t>
      </w:r>
    </w:p>
    <w:p>
      <w:pPr>
        <w:pStyle w:val="Title"/>
      </w:pPr>
      <w:r>
        <w:t xml:space="preserve">The Tribunal Overruled in Tata v. Cyrus Mistry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appellate tribunal’s finding of oppression and reinstatement, and the Supreme Court’s reasons for reversing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Cyrus Investments (P) Ltd. v. Tata Sons Ltd., 2019 SCC OnLine NCLAT 858</w:t>
      </w:r>
    </w:p>
    <w:p>
      <w:pPr>
        <w:pStyle w:val="Bullet"/>
      </w:pPr>
      <w:r>
        <w:t xml:space="preserve">•  Tata Consultancy Services Ltd. v. Cyrus Investments (P) Ltd., (2021) 9 SCC 449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https://firstprecedent.org/dissents/tribunal-overruled-in-tata-v-mistry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