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DS-0026 · Criminal</w:t>
      </w:r>
    </w:p>
    <w:p>
      <w:pPr>
        <w:pStyle w:val="Title"/>
      </w:pPr>
      <w:r>
        <w:t xml:space="preserve">Subba Rao J. in Mayer Hans George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a traveller could not be guilty of breaching a notification he had no means of knowing.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Maharashtra v. Mayer Hans George, AIR 1965 SC 722 (Subba Rao,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https://firstprecedent.org/dissents/subba-rao-in-mayer-hans-george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