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DS-0003 · Constitutional</w:t>
      </w:r>
    </w:p>
    <w:p>
      <w:pPr>
        <w:pStyle w:val="Title"/>
      </w:pPr>
      <w:r>
        <w:t xml:space="preserve">Subba Rao J. in Kharak Singh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Privacy as part of personal liberty, and surveillance as a restraint on the mind: the minority view that became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Kharak Singh v. State of U.P., AIR 1963 SC 1295 (Subba Rao,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https://firstprecedent.org/dissents/subba-rao-in-kharak-singh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