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DS-0031 · Tax</w:t>
      </w:r>
    </w:p>
    <w:p>
      <w:pPr>
        <w:pStyle w:val="Title"/>
      </w:pPr>
      <w:r>
        <w:t xml:space="preserve">Sinha J. in Kesoram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royalty on minerals is a tax, and the nine-judge decision that later took up the question.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W.B. v. Kesoram Industries Ltd., (2004) 10 SCC 201 (S.B. Sinha,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https://firstprecedent.org/dissents/sinha-in-kesoram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