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DS-0027 · Human Rights</w:t>
      </w:r>
    </w:p>
    <w:p>
      <w:pPr>
        <w:pStyle w:val="Title"/>
      </w:pPr>
      <w:r>
        <w:t xml:space="preserve">The Separate Opinions in Bandhua Mukti Morcha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Two judges on the limits of acting on a letter and on fact-finding by commissioners.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Bandhua Mukti Morcha v. Union of India, (1984) 3 SCC 161 (Pathak, J., and A.N. Sen, J.)</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https://firstprecedent.org/dissents/separate-opinions-in-bandhua-mukti-morcha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