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DS-0048 · Constitutional</w:t>
      </w:r>
    </w:p>
    <w:p>
      <w:pPr>
        <w:pStyle w:val="Title"/>
      </w:pPr>
      <w:r>
        <w:t xml:space="preserve">Pardiwala J. in the Section 6A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Four judges upheld the special citizenship rule for Assam; the dissent held it had become unconstitutional with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Section 6A of the Citizenship Act, 1955 (Supreme Court, Oct. 17, 2024)</w:t>
      </w:r>
    </w:p>
    <w:p>
      <w:pPr>
        <w:pStyle w:val="Bullet"/>
      </w:pPr>
      <w:r>
        <w:t xml:space="preserve">•  Citizenship Act, 1955, § 6A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https://firstprecedent.org/dissents/pardiwala-in-section-6a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