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DS-0032 · Tax</w:t>
      </w:r>
    </w:p>
    <w:p>
      <w:pPr>
        <w:pStyle w:val="Title"/>
      </w:pPr>
      <w:r>
        <w:t xml:space="preserve">Nagarathna J. in the Mineral Royalty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dissent that royalty is a tax and that States cannot tax mineral rights once Parliament has occupied the field.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Mineral Area Development Authority v. Steel Authority of India (Supreme Court of India, 25 July 2024) (Nagarathna,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https://firstprecedent.org/dissents/nagarathna-in-mineral-area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