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Dissent · DS-0025 · Constitutional</w:t>
      </w:r>
    </w:p>
    <w:p>
      <w:pPr>
        <w:pStyle w:val="Title"/>
      </w:pPr>
      <w:r>
        <w:t xml:space="preserve">Nagarathna J. in Kaushal Kishor</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case and the majority</w:t>
      </w:r>
    </w:p>
    <w:p>
      <w:pPr>
        <w:pStyle w:val="Guidance"/>
      </w:pPr>
      <w:r>
        <w:t xml:space="preserve">The facts, the question and what the majority held.</w:t>
      </w:r>
    </w:p>
    <w:p/>
    <w:p>
      <w:pPr>
        <w:pStyle w:val="Heading1"/>
      </w:pPr>
      <w:r>
        <w:t xml:space="preserve">What the dissent said</w:t>
      </w:r>
    </w:p>
    <w:p>
      <w:pPr>
        <w:pStyle w:val="Guidance"/>
      </w:pPr>
      <w:r>
        <w:t xml:space="preserve">The dissenting conclusion, in the judge’s own terms.</w:t>
      </w:r>
    </w:p>
    <w:p/>
    <w:p>
      <w:pPr>
        <w:pStyle w:val="Heading1"/>
      </w:pPr>
      <w:r>
        <w:t xml:space="preserve">The reasoning, read closely</w:t>
      </w:r>
    </w:p>
    <w:p>
      <w:pPr>
        <w:pStyle w:val="Guidance"/>
      </w:pPr>
      <w:r>
        <w:t xml:space="preserve">Take the dissent’s argument step by step, with pinpoint references.</w:t>
      </w:r>
    </w:p>
    <w:p/>
    <w:p>
      <w:pPr>
        <w:pStyle w:val="Heading1"/>
      </w:pPr>
      <w:r>
        <w:t xml:space="preserve">What became of it</w:t>
      </w:r>
    </w:p>
    <w:p>
      <w:pPr>
        <w:pStyle w:val="Guidance"/>
      </w:pPr>
      <w:r>
        <w:t xml:space="preserve">Whether later benches, Parliament or writers took it up.</w:t>
      </w:r>
    </w:p>
    <w:p/>
    <w:p>
      <w:pPr>
        <w:pStyle w:val="Heading1"/>
      </w:pPr>
      <w:r>
        <w:t xml:space="preserve">Your assessment</w:t>
      </w:r>
    </w:p>
    <w:p>
      <w:pPr>
        <w:pStyle w:val="Guidance"/>
      </w:pPr>
      <w:r>
        <w:t xml:space="preserve">Whether the dissent was right, and what follows if it was.</w:t>
      </w:r>
    </w:p>
    <w:p/>
    <w:p>
      <w:pPr>
        <w:pStyle w:val="Heading1"/>
      </w:pPr>
      <w:r>
        <w:t xml:space="preserve">Notes for the writer (delete before submitting)</w:t>
      </w:r>
    </w:p>
    <w:p>
      <w:pPr>
        <w:pStyle w:val="Guidance"/>
      </w:pPr>
      <w:r>
        <w:t xml:space="preserve">Scope of this entry. The partial dissent on whether Articles 19 and 21 can be enforced against private persons, and on a Minister’s speech.</w:t>
      </w:r>
    </w:p>
    <w:p>
      <w:pPr>
        <w:pStyle w:val="Guidance"/>
      </w:pPr>
      <w:r>
        <w:t xml:space="preserve">Authorities to start from. These are places to begin, listed by the editors. Read each one in the original and check the citation before you rely on it.</w:t>
      </w:r>
    </w:p>
    <w:p>
      <w:pPr>
        <w:pStyle w:val="Bullet"/>
      </w:pPr>
      <w:r>
        <w:t xml:space="preserve">•  Kaushal Kishor v. State of U.P., (2023) 4 SCC 1 (Nagarathna, J., dissenting in part)</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https://firstprecedent.org/dissents/nagarathna-in-kaushal-kishor</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