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DS-0012 · Banking</w:t>
      </w:r>
    </w:p>
    <w:p>
      <w:pPr>
        <w:pStyle w:val="Title"/>
      </w:pPr>
      <w:r>
        <w:t xml:space="preserve">Nagarathna J. in the Demonetisation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demonetisation initiated by the Central Government required legislation, not a notification.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Vivek Narayan Sharma v. Union of India, (2023) 3 SCC 1 (Nagarathna, J., dissenting)</w:t>
      </w:r>
    </w:p>
    <w:p>
      <w:pPr>
        <w:pStyle w:val="Bullet"/>
      </w:pPr>
      <w:r>
        <w:t xml:space="preserve">•  Reserve Bank of India Act, 1934, § 26(2)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https://firstprecedent.org/dissents/nagarathna-in-demonetisation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