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DS-0022 · Constitutional</w:t>
      </w:r>
    </w:p>
    <w:p>
      <w:pPr>
        <w:pStyle w:val="Title"/>
      </w:pPr>
      <w:r>
        <w:t xml:space="preserve">The Minority in T.M.A. Pai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Eleven judges, five opinions: the dissents on the State’s power over minority and private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T.M.A. Pai Foundation v. State of Karnataka, (2002) 8 SCC 481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https://firstprecedent.org/dissents/minority-in-tma-pai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