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DS-0034 · Corporate</w:t>
      </w:r>
    </w:p>
    <w:p>
      <w:pPr>
        <w:pStyle w:val="Title"/>
      </w:pPr>
      <w:r>
        <w:t xml:space="preserve">The Minority in Standard Chartered Bank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judges on why a company cannot be prosecuted where imprisonment is mandatory.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Standard Chartered Bank v. Directorate of Enforcement, (2005) 4 SCC 530 (Srikrishna,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https://firstprecedent.org/dissents/minority-in-standard-chartered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