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Dissent · DS-0005 · Constitutional</w:t>
      </w:r>
    </w:p>
    <w:p>
      <w:pPr>
        <w:pStyle w:val="Title"/>
      </w:pPr>
      <w:r>
        <w:t xml:space="preserve">The Six in Kesavananda</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case and the majority</w:t>
      </w:r>
    </w:p>
    <w:p>
      <w:pPr>
        <w:pStyle w:val="Guidance"/>
      </w:pPr>
      <w:r>
        <w:t xml:space="preserve">The facts, the question and what the majority held.</w:t>
      </w:r>
    </w:p>
    <w:p/>
    <w:p>
      <w:pPr>
        <w:pStyle w:val="Heading1"/>
      </w:pPr>
      <w:r>
        <w:t xml:space="preserve">What the dissent said</w:t>
      </w:r>
    </w:p>
    <w:p>
      <w:pPr>
        <w:pStyle w:val="Guidance"/>
      </w:pPr>
      <w:r>
        <w:t xml:space="preserve">The dissenting conclusion, in the judge’s own terms.</w:t>
      </w:r>
    </w:p>
    <w:p/>
    <w:p>
      <w:pPr>
        <w:pStyle w:val="Heading1"/>
      </w:pPr>
      <w:r>
        <w:t xml:space="preserve">The reasoning, read closely</w:t>
      </w:r>
    </w:p>
    <w:p>
      <w:pPr>
        <w:pStyle w:val="Guidance"/>
      </w:pPr>
      <w:r>
        <w:t xml:space="preserve">Take the dissent’s argument step by step, with pinpoint references.</w:t>
      </w:r>
    </w:p>
    <w:p/>
    <w:p>
      <w:pPr>
        <w:pStyle w:val="Heading1"/>
      </w:pPr>
      <w:r>
        <w:t xml:space="preserve">What became of it</w:t>
      </w:r>
    </w:p>
    <w:p>
      <w:pPr>
        <w:pStyle w:val="Guidance"/>
      </w:pPr>
      <w:r>
        <w:t xml:space="preserve">Whether later benches, Parliament or writers took it up.</w:t>
      </w:r>
    </w:p>
    <w:p/>
    <w:p>
      <w:pPr>
        <w:pStyle w:val="Heading1"/>
      </w:pPr>
      <w:r>
        <w:t xml:space="preserve">Your assessment</w:t>
      </w:r>
    </w:p>
    <w:p>
      <w:pPr>
        <w:pStyle w:val="Guidance"/>
      </w:pPr>
      <w:r>
        <w:t xml:space="preserve">Whether the dissent was right, and what follows if it was.</w:t>
      </w:r>
    </w:p>
    <w:p/>
    <w:p>
      <w:pPr>
        <w:pStyle w:val="Heading1"/>
      </w:pPr>
      <w:r>
        <w:t xml:space="preserve">Notes for the writer (delete before submitting)</w:t>
      </w:r>
    </w:p>
    <w:p>
      <w:pPr>
        <w:pStyle w:val="Guidance"/>
      </w:pPr>
      <w:r>
        <w:t xml:space="preserve">Scope of this entry. The case for an unlimited amending power, as argued by the judges who would have upheld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Kesavananda Bharati v. State of Kerala, (1973) 4 SCC 225 (Ray, Palekar, Mathew, Beg, Dwivedi and Chandrachud, JJ.)</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https://firstprecedent.org/dissents/minority-in-kesavananda</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