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DS-0047 · Constitutional</w:t>
      </w:r>
    </w:p>
    <w:p>
      <w:pPr>
        <w:pStyle w:val="Title"/>
      </w:pPr>
      <w:r>
        <w:t xml:space="preserve">The Minority in the Aligarh Muslim University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Four judges overruled Azeez Basha on when a minority "establishes" an institution; three would not have.</w:t>
      </w:r>
    </w:p>
    <w:p>
      <w:pPr>
        <w:pStyle w:val="Guidance"/>
      </w:pPr>
      <w:r>
        <w:t xml:space="preserve">Authorities to start from. These are places to begin, listed by the editors. Read each one in the original and check the citation before you rely on it.</w:t>
      </w:r>
    </w:p>
    <w:p>
      <w:pPr>
        <w:pStyle w:val="Bullet"/>
      </w:pPr>
      <w:r>
        <w:t xml:space="preserve">•  Aligarh Muslim University v. Naresh Agarwal (Supreme Court, Nov. 8, 2024)</w:t>
      </w:r>
    </w:p>
    <w:p>
      <w:pPr>
        <w:pStyle w:val="Bullet"/>
      </w:pPr>
      <w:r>
        <w:t xml:space="preserve">•  S. Azeez Basha v. Union of India, AIR 1968 SC 662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https://firstprecedent.org/dissents/minority-in-aligarh-muslim-university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