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DS-0017 · Media</w:t>
      </w:r>
    </w:p>
    <w:p>
      <w:pPr>
        <w:pStyle w:val="Title"/>
      </w:pPr>
      <w:r>
        <w:t xml:space="preserve">Mathew J. in Bennett Coleman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Free speech as the right of the public to hear a diversity of voices, not only the right of the press to publish.</w:t>
      </w:r>
    </w:p>
    <w:p>
      <w:pPr>
        <w:pStyle w:val="Guidance"/>
      </w:pPr>
      <w:r>
        <w:t xml:space="preserve">Authorities to start from. These are places to begin, listed by the editors. Read each one in the original and check the citation before you rely on it.</w:t>
      </w:r>
    </w:p>
    <w:p>
      <w:pPr>
        <w:pStyle w:val="Bullet"/>
      </w:pPr>
      <w:r>
        <w:t xml:space="preserve">•  Bennett Coleman &amp; Co. v. Union of India, (1972) 2 SCC 788 (Mathew,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https://firstprecedent.org/dissents/mathew-in-bennett-coleman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