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DS-0015 · Family</w:t>
      </w:r>
    </w:p>
    <w:p>
      <w:pPr>
        <w:pStyle w:val="Title"/>
      </w:pPr>
      <w:r>
        <w:t xml:space="preserve">Khehar C.J. in Shayara Bano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minority opinion that personal law is protected by Article 25 and that the remedy lay with Parliament.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Shayara Bano v. Union of India, (2017) 9 SCC 1 (Khehar, C.J.,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https://firstprecedent.org/dissents/khehar-in-shayara-bano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