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DS-0004 · Constitutional</w:t>
      </w:r>
    </w:p>
    <w:p>
      <w:pPr>
        <w:pStyle w:val="Title"/>
      </w:pPr>
      <w:r>
        <w:t xml:space="preserve">Hidayatullah and Mudholkar JJ. in Sajjan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separate opinions doubting that fundamental rights could be "the plaything of a special majority", and the first mention of basic features.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Sajjan Singh v. State of Rajasthan, AIR 1965 SC 845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https://firstprecedent.org/dissents/hidayatullah-and-mudholkar-in-sajjan-singh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