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DS-0042 · Media</w:t>
      </w:r>
    </w:p>
    <w:p>
      <w:pPr>
        <w:pStyle w:val="Title"/>
      </w:pPr>
      <w:r>
        <w:t xml:space="preserve">Fazl Ali J. in Romesh Thappar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lone dissent in the first free speech cases read "security of the State" to include public order, which the First Amendment then wrote in.</w:t>
      </w:r>
    </w:p>
    <w:p>
      <w:pPr>
        <w:pStyle w:val="Guidance"/>
      </w:pPr>
      <w:r>
        <w:t xml:space="preserve">Authorities to start from. These are places to begin, listed by the editors. Read each one in the original and check the citation before you rely on it.</w:t>
      </w:r>
    </w:p>
    <w:p>
      <w:pPr>
        <w:pStyle w:val="Bullet"/>
      </w:pPr>
      <w:r>
        <w:t xml:space="preserve">•  Romesh Thappar v. State of Madras, AIR 1950 SC 124</w:t>
      </w:r>
    </w:p>
    <w:p>
      <w:pPr>
        <w:pStyle w:val="Bullet"/>
      </w:pPr>
      <w:r>
        <w:t xml:space="preserve">•  Brij Bhushan v. State of Delhi, AIR 1950 SC 129</w:t>
      </w:r>
    </w:p>
    <w:p>
      <w:pPr>
        <w:pStyle w:val="Bullet"/>
      </w:pPr>
      <w:r>
        <w:t xml:space="preserve">•  Constitution (First Amendment) Act, 1951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https://firstprecedent.org/dissents/fazl-ali-in-romesh-thappar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