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DS-0018 · Constitutional</w:t>
      </w:r>
    </w:p>
    <w:p>
      <w:pPr>
        <w:pStyle w:val="Title"/>
      </w:pPr>
      <w:r>
        <w:t xml:space="preserve">The Dissents in Indra Sawhney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on why caste could not be the basis for identifying backward classes.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 (Thommen, Kuldip Singh and Sahai, JJ.,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https://firstprecedent.org/dissents/dissents-in-indra-sawhney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