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DS-0030 · Tax</w:t>
      </w:r>
    </w:p>
    <w:p>
      <w:pPr>
        <w:pStyle w:val="Title"/>
      </w:pPr>
      <w:r>
        <w:t xml:space="preserve">Chinnappa Reddy J. in McDowell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A concurring opinion that went further than the majority in condemning tax avoidance, and its long afterlife.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McDowell &amp; Co. Ltd. v. CTO, (1985) 3 SCC 230 (Chinnappa Reddy, J.)</w:t>
      </w:r>
    </w:p>
    <w:p>
      <w:pPr>
        <w:pStyle w:val="Bullet"/>
      </w:pPr>
      <w:r>
        <w:t xml:space="preserve">•  Union of India v. Azadi Bachao Andolan, (2004)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https://firstprecedent.org/dissents/chinnappa-reddy-in-mcdowell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