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DS-0021 · Criminal</w:t>
      </w:r>
    </w:p>
    <w:p>
      <w:pPr>
        <w:pStyle w:val="Title"/>
      </w:pPr>
      <w:r>
        <w:t xml:space="preserve">Chandrachud J. in Romila Thapar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would have ordered a special investigation team into arrests of activists, on the ground that liberty cannot rest on conjecture.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Romila Thapar v. Union of India, (2018) 10 SCC 753 (Chandrachud,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https://firstprecedent.org/dissents/chandrachud-in-romila-thapar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