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DS-0010 · Tech &amp; Data</w:t>
      </w:r>
    </w:p>
    <w:p>
      <w:pPr>
        <w:pStyle w:val="Title"/>
      </w:pPr>
      <w:r>
        <w:t xml:space="preserve">Chandrachud J. in the Aadhaar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holding the Aadhaar Act unconstitutional as a money bill and disproportionate in its design.</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(Aadhaar) v. Union of India, (2019) 1 SCC 1 (Chandrachud, J., dissenting)</w:t>
      </w:r>
    </w:p>
    <w:p>
      <w:pPr>
        <w:pStyle w:val="Bullet"/>
      </w:pPr>
      <w:r>
        <w:t xml:space="preserve">•  Rojer Mathew v. South Indian Bank Ltd., (2020)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https://firstprecedent.org/dissents/chandrachud-in-aadhaar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