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DS-0037 · Environment</w:t>
      </w:r>
    </w:p>
    <w:p>
      <w:pPr>
        <w:pStyle w:val="Title"/>
      </w:pPr>
      <w:r>
        <w:t xml:space="preserve">Bharucha J. in Narmada Bachao Andolan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dissent that the dam could not proceed without a fresh environmental clearance.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Narmada Bachao Andolan v. Union of India, (2000) 10 SCC 664 (Bharucha,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https://firstprecedent.org/dissents/bharucha-in-narmada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