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CN-0084 · Administrative</w:t>
      </w:r>
    </w:p>
    <w:p>
      <w:pPr>
        <w:pStyle w:val="Title"/>
      </w:pPr>
      <w:r>
        <w:t xml:space="preserve">Prohibition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writ that stops a court or tribunal from going on with a matter outside its jurisdiction, and how it differs from certiorari.</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32, 226</w:t>
      </w:r>
    </w:p>
    <w:p>
      <w:pPr>
        <w:pStyle w:val="Bullet"/>
      </w:pPr>
      <w:r>
        <w:t xml:space="preserve">•  S. Govinda Menon v. Union of India, AIR 1967 SC 1274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https://firstprecedent.org/concepts/writ-of-prohibition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